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pStyle w:val="para2"/>
        <w:spacing w:before="0" w:line="276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Wymagania edukacyjne dla klasy VI</w:t>
      </w:r>
    </w:p>
    <w:p>
      <w:pPr>
        <w:pStyle w:val="para2"/>
        <w:spacing w:before="0" w:line="276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I. Obszary kształcenia wg podstawy programowej</w:t>
      </w:r>
    </w:p>
    <w:p>
      <w:pPr>
        <w:pStyle w:val="para3"/>
        <w:spacing w:before="0" w:line="276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Arial"/>
          <w:b w:val="0"/>
          <w:sz w:val="22"/>
          <w:szCs w:val="22"/>
        </w:rPr>
      </w:pPr>
      <w:r>
        <w:rPr>
          <w:rFonts w:eastAsia="Arial"/>
          <w:sz w:val="22"/>
          <w:szCs w:val="22"/>
        </w:rPr>
        <w:t>1. Kształcenie literackie i kulturowe</w:t>
      </w:r>
      <w:r>
        <w:rPr>
          <w:rFonts w:eastAsia="Arial"/>
          <w:b w:val="0"/>
          <w:sz w:val="22"/>
          <w:szCs w:val="22"/>
        </w:rPr>
      </w:r>
    </w:p>
    <w:p>
      <w:pPr>
        <w:numPr>
          <w:ilvl w:val="0"/>
          <w:numId w:val="2"/>
        </w:numPr>
        <w:ind w:left="283" w:hanging="283"/>
        <w:spacing w:line="276" w:lineRule="auto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</w:rPr>
        <w:t>Lektury i teksty literackie:</w:t>
      </w:r>
      <w:r>
        <w:rPr>
          <w:rFonts w:ascii="Arial" w:hAnsi="Arial" w:eastAsia="Arial" w:cs="Arial"/>
          <w:bCs/>
          <w:sz w:val="22"/>
          <w:szCs w:val="22"/>
        </w:rPr>
        <w:t xml:space="preserve"> Odczytywanie sensu utworów literackich (epika, liryka, dramat), rozpoznawanie gatunków (np. przypowieść, mit, baśń, legenda, farsa, nowela, powieść historyczna, fantastycznonaukowa).</w:t>
      </w:r>
    </w:p>
    <w:p>
      <w:pPr>
        <w:numPr>
          <w:ilvl w:val="0"/>
          <w:numId w:val="2"/>
        </w:numPr>
        <w:ind w:left="283" w:hanging="283"/>
        <w:spacing w:line="276" w:lineRule="auto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</w:rPr>
        <w:t>Elementy świata przedstawionego:</w:t>
      </w:r>
      <w:r>
        <w:rPr>
          <w:rFonts w:ascii="Arial" w:hAnsi="Arial" w:eastAsia="Arial" w:cs="Arial"/>
          <w:bCs/>
          <w:sz w:val="22"/>
          <w:szCs w:val="22"/>
        </w:rPr>
        <w:t xml:space="preserve"> Analiza fabuły, akcji, czasów i miejsc wydarzeń, charakteryzowanie bohaterów (głównych, drugoplanowych, epizodycznych), określanie motywacji ich postępowań.</w:t>
      </w:r>
    </w:p>
    <w:p>
      <w:pPr>
        <w:numPr>
          <w:ilvl w:val="0"/>
          <w:numId w:val="2"/>
        </w:numPr>
        <w:ind w:left="283" w:hanging="283"/>
        <w:spacing w:line="276" w:lineRule="auto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</w:rPr>
        <w:t>Środki wyrazu artystycznego:</w:t>
      </w:r>
      <w:r>
        <w:rPr>
          <w:rFonts w:ascii="Arial" w:hAnsi="Arial" w:eastAsia="Arial" w:cs="Arial"/>
          <w:bCs/>
          <w:sz w:val="22"/>
          <w:szCs w:val="22"/>
        </w:rPr>
        <w:t xml:space="preserve"> Identyfikowanie i określanie funkcji środków stylizacyjnych (epitet, metafora, porównanie, uosobienie, ożywienie, apostrofa, wyrazy dźwiękonaśladowcze, anafora).</w:t>
      </w:r>
    </w:p>
    <w:p>
      <w:pPr>
        <w:numPr>
          <w:ilvl w:val="0"/>
          <w:numId w:val="2"/>
        </w:numPr>
        <w:ind w:left="283" w:hanging="283"/>
        <w:spacing w:line="276" w:lineRule="auto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</w:rPr>
        <w:t>Odbiór tekstów kultury:</w:t>
      </w:r>
      <w:r>
        <w:rPr>
          <w:rFonts w:ascii="Arial" w:hAnsi="Arial" w:eastAsia="Arial" w:cs="Arial"/>
          <w:bCs/>
          <w:sz w:val="22"/>
          <w:szCs w:val="22"/>
        </w:rPr>
        <w:t xml:space="preserve"> Interpretacja tekstów ikonicznych (obraz, komiks, plakat), filmowych i teatralnych; odróżnianie informacji od opinii.</w:t>
      </w:r>
    </w:p>
    <w:p>
      <w:pPr>
        <w:pStyle w:val="para3"/>
        <w:spacing w:before="0" w:line="276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Arial"/>
          <w:b w:val="0"/>
          <w:sz w:val="22"/>
          <w:szCs w:val="22"/>
        </w:rPr>
      </w:pPr>
      <w:r>
        <w:rPr>
          <w:rFonts w:eastAsia="Arial"/>
          <w:sz w:val="22"/>
          <w:szCs w:val="22"/>
        </w:rPr>
        <w:t>2. Kształcenie językowe</w:t>
      </w:r>
      <w:r>
        <w:rPr>
          <w:rFonts w:eastAsia="Arial"/>
          <w:b w:val="0"/>
          <w:sz w:val="22"/>
          <w:szCs w:val="22"/>
        </w:rPr>
      </w:r>
    </w:p>
    <w:p>
      <w:pPr>
        <w:numPr>
          <w:ilvl w:val="0"/>
          <w:numId w:val="2"/>
        </w:numPr>
        <w:ind w:left="283" w:hanging="283"/>
        <w:spacing w:line="276" w:lineRule="auto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</w:rPr>
        <w:t>Gramatyka:</w:t>
      </w:r>
      <w:r>
        <w:rPr>
          <w:rFonts w:ascii="Arial" w:hAnsi="Arial" w:eastAsia="Arial" w:cs="Arial"/>
          <w:bCs/>
          <w:sz w:val="22"/>
          <w:szCs w:val="22"/>
        </w:rPr>
      </w:r>
    </w:p>
    <w:p>
      <w:pPr>
        <w:numPr>
          <w:ilvl w:val="0"/>
          <w:numId w:val="3"/>
        </w:numPr>
        <w:ind w:left="567" w:hanging="567"/>
        <w:spacing w:line="276" w:lineRule="auto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Cs/>
          <w:sz w:val="22"/>
          <w:szCs w:val="22"/>
        </w:rPr>
        <w:t>Odmienne i nieodmienne części mowy – rozpoznawanie i stosowanie w wypowiedziach (ze szczególnym uwzględnieniem przysłówków, zaimków, liczebników i przyimków).</w:t>
      </w:r>
    </w:p>
    <w:p>
      <w:pPr>
        <w:numPr>
          <w:ilvl w:val="0"/>
          <w:numId w:val="3"/>
        </w:numPr>
        <w:ind w:left="567" w:hanging="567"/>
        <w:spacing w:line="276" w:lineRule="auto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Cs/>
          <w:sz w:val="22"/>
          <w:szCs w:val="22"/>
        </w:rPr>
        <w:t>Składnia – zdanie pojedyncze (rozwinięte/nierozwinięte), zdania złożone współrzędnie i podrzędnie, wykresy zdań, części zdania (podmiot, orzeczenie, dopełnienie, przydawka, okolicznik).</w:t>
      </w:r>
    </w:p>
    <w:p>
      <w:pPr>
        <w:numPr>
          <w:ilvl w:val="0"/>
          <w:numId w:val="3"/>
        </w:numPr>
        <w:ind w:left="567" w:hanging="567"/>
        <w:spacing w:line="276" w:lineRule="auto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Cs/>
          <w:sz w:val="22"/>
          <w:szCs w:val="22"/>
        </w:rPr>
        <w:t>Imiesłowy (przymiotnikowe i przysłówkowe) – rozpoznawanie, zasady pisowni z „nie”.</w:t>
      </w:r>
    </w:p>
    <w:p>
      <w:pPr>
        <w:numPr>
          <w:ilvl w:val="0"/>
          <w:numId w:val="2"/>
        </w:numPr>
        <w:ind w:left="283" w:hanging="283"/>
        <w:spacing w:line="276" w:lineRule="auto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</w:rPr>
        <w:t>Ortografia i interpunkcja:</w:t>
      </w:r>
      <w:r>
        <w:rPr>
          <w:rFonts w:ascii="Arial" w:hAnsi="Arial" w:eastAsia="Arial" w:cs="Arial"/>
          <w:bCs/>
          <w:sz w:val="22"/>
          <w:szCs w:val="22"/>
        </w:rPr>
        <w:t xml:space="preserve"> Stosowanie zasad pisowni wyrazów z </w:t>
      </w:r>
      <w:r>
        <w:rPr>
          <w:rFonts w:ascii="Arial" w:hAnsi="Arial" w:eastAsia="Arial" w:cs="Arial"/>
          <w:bCs/>
          <w:i/>
          <w:sz w:val="22"/>
          <w:szCs w:val="22"/>
        </w:rPr>
        <w:t>ó, u, rz, ż, ch, h</w:t>
      </w:r>
      <w:r>
        <w:rPr>
          <w:rFonts w:ascii="Arial" w:hAnsi="Arial" w:eastAsia="Arial" w:cs="Arial"/>
          <w:bCs/>
          <w:sz w:val="22"/>
          <w:szCs w:val="22"/>
        </w:rPr>
        <w:t>, wielką i małą literą, pisownia „nie” z różnymi częściami mowy oraz przecinek w zdaniach pojedynczych i złożonych.</w:t>
      </w:r>
    </w:p>
    <w:p>
      <w:pPr>
        <w:numPr>
          <w:ilvl w:val="0"/>
          <w:numId w:val="2"/>
        </w:numPr>
        <w:ind w:left="283" w:hanging="283"/>
        <w:spacing w:line="276" w:lineRule="auto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</w:rPr>
        <w:t>Etykieta językowa:</w:t>
      </w:r>
      <w:r>
        <w:rPr>
          <w:rFonts w:ascii="Arial" w:hAnsi="Arial" w:eastAsia="Arial" w:cs="Arial"/>
          <w:bCs/>
          <w:sz w:val="22"/>
          <w:szCs w:val="22"/>
        </w:rPr>
        <w:t xml:space="preserve"> Dobór środków językowych zależnie od sytuacji komunikacyjnej, oficjalny i nieoficjalny styl wypowiedzi.</w:t>
      </w:r>
    </w:p>
    <w:p>
      <w:pPr>
        <w:pStyle w:val="para3"/>
        <w:spacing w:before="0" w:line="276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Arial"/>
          <w:b w:val="0"/>
          <w:sz w:val="22"/>
          <w:szCs w:val="22"/>
        </w:rPr>
      </w:pPr>
      <w:r>
        <w:rPr>
          <w:rFonts w:eastAsia="Arial"/>
          <w:sz w:val="22"/>
          <w:szCs w:val="22"/>
        </w:rPr>
        <w:t>3. Tworzenie wypowiedzi</w:t>
      </w:r>
      <w:r>
        <w:rPr>
          <w:rFonts w:eastAsia="Arial"/>
          <w:b w:val="0"/>
          <w:sz w:val="22"/>
          <w:szCs w:val="22"/>
        </w:rPr>
      </w:r>
    </w:p>
    <w:p>
      <w:pPr>
        <w:numPr>
          <w:ilvl w:val="0"/>
          <w:numId w:val="2"/>
        </w:numPr>
        <w:ind w:left="283" w:hanging="283"/>
        <w:spacing w:line="276" w:lineRule="auto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</w:rPr>
        <w:t>Formy pisemne:</w:t>
      </w:r>
      <w:r>
        <w:rPr>
          <w:rFonts w:ascii="Arial" w:hAnsi="Arial" w:eastAsia="Arial" w:cs="Arial"/>
          <w:bCs/>
          <w:sz w:val="22"/>
          <w:szCs w:val="22"/>
        </w:rPr>
        <w:t xml:space="preserve"> Opowiadanie (z dialogiem, opisem, elementami charakterystyki), charakterystyka postaci, list oficjalny i prywatny, ogłoszenie, zaproszenie, dedykacja, opis przedmiotu/krajobrazu/dzieła sztuki, sprawozdanie.</w:t>
      </w:r>
    </w:p>
    <w:p>
      <w:pPr>
        <w:numPr>
          <w:ilvl w:val="0"/>
          <w:numId w:val="2"/>
        </w:numPr>
        <w:ind w:left="283" w:hanging="283"/>
        <w:spacing w:line="276" w:lineRule="auto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</w:rPr>
        <w:t>Kompozycja i styl:</w:t>
      </w:r>
      <w:r>
        <w:rPr>
          <w:rFonts w:ascii="Arial" w:hAnsi="Arial" w:eastAsia="Arial" w:cs="Arial"/>
          <w:bCs/>
          <w:sz w:val="22"/>
          <w:szCs w:val="22"/>
        </w:rPr>
        <w:t xml:space="preserve"> Dbanie o logiczną strukturę tekstu (wstęp, rozwinięcie, zakończenie), trójdzielność, spójność akapitową i poprawność językową.</w:t>
      </w:r>
    </w:p>
    <w:p>
      <w:pPr>
        <w:pStyle w:val="para3"/>
        <w:spacing w:before="0" w:line="276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Arial"/>
          <w:b w:val="0"/>
          <w:sz w:val="22"/>
          <w:szCs w:val="22"/>
        </w:rPr>
      </w:pPr>
      <w:r>
        <w:rPr>
          <w:rFonts w:eastAsia="Arial"/>
          <w:sz w:val="22"/>
          <w:szCs w:val="22"/>
        </w:rPr>
        <w:t>4. Samokształcenie</w:t>
      </w:r>
      <w:r>
        <w:rPr>
          <w:rFonts w:eastAsia="Arial"/>
          <w:b w:val="0"/>
          <w:sz w:val="22"/>
          <w:szCs w:val="22"/>
        </w:rPr>
      </w:r>
    </w:p>
    <w:p>
      <w:pPr>
        <w:numPr>
          <w:ilvl w:val="0"/>
          <w:numId w:val="2"/>
        </w:numPr>
        <w:ind w:left="283" w:hanging="283"/>
        <w:spacing w:line="276" w:lineRule="auto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Cs/>
          <w:sz w:val="22"/>
          <w:szCs w:val="22"/>
        </w:rPr>
        <w:t>Korzystanie ze słowników (języka polskiego, ortograficznego, wyrazów bliskoznacznych, frazeologicznego).</w:t>
      </w:r>
    </w:p>
    <w:p>
      <w:pPr>
        <w:numPr>
          <w:ilvl w:val="0"/>
          <w:numId w:val="2"/>
        </w:numPr>
        <w:ind w:left="283" w:hanging="283"/>
        <w:spacing w:line="276" w:lineRule="auto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Cs/>
          <w:sz w:val="22"/>
          <w:szCs w:val="22"/>
        </w:rPr>
        <w:t>Wyszukiwanie informacji w różnych źródłach i poddawanie ich krytycznej ocenie.</w:t>
      </w:r>
    </w:p>
    <w:p>
      <w:pPr>
        <w:pStyle w:val="para2"/>
        <w:spacing w:before="0" w:line="276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II. Kryteria oceniania na poszczególne stopnie</w:t>
      </w:r>
    </w:p>
    <w:tbl>
      <w:tblPr>
        <w:tblStyle w:val="TableNormal"/>
        <w:name w:val="Tabela1"/>
        <w:tabOrder w:val="0"/>
        <w:jc w:val="left"/>
        <w:tblInd w:w="0" w:type="dxa"/>
        <w:tblW w:w="7420" w:type="dxa"/>
        <w:pPr>
          <w:spacing w:after="640" w:line="276" w:lineRule="auto"/>
          <w:keepNext/>
          <w:keepLines/>
        </w:pPr>
        <w:tblLook w:val="0600" w:firstRow="0" w:lastRow="0" w:firstColumn="0" w:lastColumn="0" w:noHBand="1" w:noVBand="1"/>
      </w:tblPr>
      <w:tblGrid>
        <w:gridCol w:w="1100"/>
        <w:gridCol w:w="6320"/>
      </w:tblGrid>
      <w:tr>
        <w:trPr>
          <w:tblHeader/>
          <w:cantSplit w:val="0"/>
          <w:trHeight w:val="0" w:hRule="auto"/>
        </w:trPr>
        <w:tc>
          <w:tcPr>
            <w:tcW w:w="1100" w:type="dxa"/>
            <w:shd w:val="none"/>
            <w:tcMar>
              <w:top w:w="121" w:type="dxa"/>
              <w:left w:w="56" w:type="dxa"/>
              <w:bottom w:w="56" w:type="dxa"/>
              <w:right w:w="181" w:type="dxa"/>
            </w:tcMar>
            <w:tcBorders>
              <w:top w:val="single" w:sz="6" w:space="0" w:color="C4C7C5" tmln="15, 20, 20, 0, 0"/>
              <w:left w:val="single" w:sz="6" w:space="0" w:color="C4C7C5" tmln="15, 20, 20, 0, 0"/>
              <w:bottom w:val="single" w:sz="6" w:space="0" w:color="C4C7C5" tmln="15, 20, 20, 0, 0"/>
              <w:right w:val="single" w:sz="6" w:space="0" w:color="C4C7C5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88492669" protected="0"/>
          </w:tcPr>
          <w:p>
            <w:pPr>
              <w:spacing w:line="276" w:lineRule="auto"/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>Ocena</w:t>
            </w:r>
          </w:p>
        </w:tc>
        <w:tc>
          <w:tcPr>
            <w:tcW w:w="6320" w:type="dxa"/>
            <w:shd w:val="none"/>
            <w:tcMar>
              <w:top w:w="121" w:type="dxa"/>
              <w:left w:w="56" w:type="dxa"/>
              <w:bottom w:w="56" w:type="dxa"/>
              <w:right w:w="181" w:type="dxa"/>
            </w:tcMar>
            <w:tcBorders>
              <w:top w:val="single" w:sz="6" w:space="0" w:color="C4C7C5" tmln="15, 20, 20, 0, 0"/>
              <w:left w:val="single" w:sz="6" w:space="0" w:color="C4C7C5" tmln="15, 20, 20, 0, 0"/>
              <w:bottom w:val="single" w:sz="6" w:space="0" w:color="C4C7C5" tmln="15, 20, 20, 0, 0"/>
              <w:right w:val="single" w:sz="6" w:space="0" w:color="C4C7C5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88492669" protected="0"/>
          </w:tcPr>
          <w:p>
            <w:pPr>
              <w:spacing w:line="276" w:lineRule="auto"/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>Kryteria i wymagania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100" w:type="dxa"/>
            <w:shd w:val="none"/>
            <w:tcMar>
              <w:top w:w="121" w:type="dxa"/>
              <w:left w:w="56" w:type="dxa"/>
              <w:bottom w:w="56" w:type="dxa"/>
              <w:right w:w="181" w:type="dxa"/>
            </w:tcMar>
            <w:tcBorders>
              <w:top w:val="single" w:sz="6" w:space="0" w:color="C4C7C5" tmln="15, 20, 20, 0, 0"/>
              <w:left w:val="single" w:sz="6" w:space="0" w:color="C4C7C5" tmln="15, 20, 20, 0, 0"/>
              <w:bottom w:val="single" w:sz="6" w:space="0" w:color="C4C7C5" tmln="15, 20, 20, 0, 0"/>
              <w:right w:val="single" w:sz="6" w:space="0" w:color="C4C7C5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88492669" protected="0"/>
          </w:tcPr>
          <w:p>
            <w:pPr>
              <w:spacing w:after="640" w:line="276" w:lineRule="auto"/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>Dopuszczający (2)</w:t>
            </w:r>
          </w:p>
        </w:tc>
        <w:tc>
          <w:tcPr>
            <w:tcW w:w="6320" w:type="dxa"/>
            <w:shd w:val="none"/>
            <w:tcMar>
              <w:top w:w="121" w:type="dxa"/>
              <w:left w:w="56" w:type="dxa"/>
              <w:bottom w:w="56" w:type="dxa"/>
              <w:right w:w="181" w:type="dxa"/>
            </w:tcMar>
            <w:tcBorders>
              <w:top w:val="single" w:sz="6" w:space="0" w:color="C4C7C5" tmln="15, 20, 20, 0, 0"/>
              <w:left w:val="single" w:sz="6" w:space="0" w:color="C4C7C5" tmln="15, 20, 20, 0, 0"/>
              <w:bottom w:val="single" w:sz="6" w:space="0" w:color="C4C7C5" tmln="15, 20, 20, 0, 0"/>
              <w:right w:val="single" w:sz="6" w:space="0" w:color="C4C7C5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88492669" protected="0"/>
          </w:tcPr>
          <w:p>
            <w:pPr>
              <w:spacing w:after="640" w:line="276" w:lineRule="auto"/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eastAsia="Arial" w:cs="Arial"/>
                <w:bCs/>
                <w:sz w:val="22"/>
                <w:szCs w:val="22"/>
              </w:rPr>
            </w:pPr>
            <w:r>
              <w:rPr>
                <w:rFonts w:ascii="Arial" w:hAnsi="Arial" w:eastAsia="Arial" w:cs="Arial"/>
                <w:bCs/>
                <w:sz w:val="22"/>
                <w:szCs w:val="22"/>
              </w:rPr>
              <w:t>Uczeń opanował podstawowe wiadomości i umiejętności umożliwiające kontynuację nauki. Rozpoznaje podstawowe gatunki literackie, wyznacza elementy świata przedstawionego z pomocą nauczyciela. Tworzy krótkie formy wypowiedzi (opowiadanie, list), popełniając błędy, ale zachowując podstawową zrozumiałość. Zna podstawowe części mowy.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100" w:type="dxa"/>
            <w:shd w:val="none"/>
            <w:tcMar>
              <w:top w:w="121" w:type="dxa"/>
              <w:left w:w="56" w:type="dxa"/>
              <w:bottom w:w="56" w:type="dxa"/>
              <w:right w:w="181" w:type="dxa"/>
            </w:tcMar>
            <w:tcBorders>
              <w:top w:val="single" w:sz="6" w:space="0" w:color="C4C7C5" tmln="15, 20, 20, 0, 0"/>
              <w:left w:val="single" w:sz="6" w:space="0" w:color="C4C7C5" tmln="15, 20, 20, 0, 0"/>
              <w:bottom w:val="single" w:sz="6" w:space="0" w:color="C4C7C5" tmln="15, 20, 20, 0, 0"/>
              <w:right w:val="single" w:sz="6" w:space="0" w:color="C4C7C5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88492669" protected="0"/>
          </w:tcPr>
          <w:p>
            <w:pPr>
              <w:spacing w:after="640" w:line="276" w:lineRule="auto"/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>Dostateczny (3)</w:t>
            </w:r>
          </w:p>
        </w:tc>
        <w:tc>
          <w:tcPr>
            <w:tcW w:w="6320" w:type="dxa"/>
            <w:shd w:val="none"/>
            <w:tcMar>
              <w:top w:w="121" w:type="dxa"/>
              <w:left w:w="56" w:type="dxa"/>
              <w:bottom w:w="56" w:type="dxa"/>
              <w:right w:w="181" w:type="dxa"/>
            </w:tcMar>
            <w:tcBorders>
              <w:top w:val="single" w:sz="6" w:space="0" w:color="C4C7C5" tmln="15, 20, 20, 0, 0"/>
              <w:left w:val="single" w:sz="6" w:space="0" w:color="C4C7C5" tmln="15, 20, 20, 0, 0"/>
              <w:bottom w:val="single" w:sz="6" w:space="0" w:color="C4C7C5" tmln="15, 20, 20, 0, 0"/>
              <w:right w:val="single" w:sz="6" w:space="0" w:color="C4C7C5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88492669" protected="0"/>
          </w:tcPr>
          <w:p>
            <w:pPr>
              <w:spacing w:after="640" w:line="276" w:lineRule="auto"/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eastAsia="Arial" w:cs="Arial"/>
                <w:bCs/>
                <w:sz w:val="22"/>
                <w:szCs w:val="22"/>
              </w:rPr>
            </w:pPr>
            <w:r>
              <w:rPr>
                <w:rFonts w:ascii="Arial" w:hAnsi="Arial" w:eastAsia="Arial" w:cs="Arial"/>
                <w:bCs/>
                <w:sz w:val="22"/>
                <w:szCs w:val="22"/>
              </w:rPr>
              <w:t>Uczeń stosuje wiedzę w sytuacjach typowych. Samodzielnie wskazuje elementy świata przedstawionego i podstawowe środki stylistyczne. Redaguje typowe formy wypowiedzi (opowiadanie, opis, charakterystykę, zaproszenie), dbając o podstawową kompozycję. Poprawnie analizuje zdania pojedyncze i rozpoznaje części mowy. Popełnia nieliczne błędy ortograficzne w znanych wyrazach.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100" w:type="dxa"/>
            <w:shd w:val="none"/>
            <w:tcMar>
              <w:top w:w="121" w:type="dxa"/>
              <w:left w:w="56" w:type="dxa"/>
              <w:bottom w:w="56" w:type="dxa"/>
              <w:right w:w="181" w:type="dxa"/>
            </w:tcMar>
            <w:tcBorders>
              <w:top w:val="single" w:sz="6" w:space="0" w:color="C4C7C5" tmln="15, 20, 20, 0, 0"/>
              <w:left w:val="single" w:sz="6" w:space="0" w:color="C4C7C5" tmln="15, 20, 20, 0, 0"/>
              <w:bottom w:val="single" w:sz="6" w:space="0" w:color="C4C7C5" tmln="15, 20, 20, 0, 0"/>
              <w:right w:val="single" w:sz="6" w:space="0" w:color="C4C7C5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88492669" protected="0"/>
          </w:tcPr>
          <w:p>
            <w:pPr>
              <w:spacing w:after="640" w:line="276" w:lineRule="auto"/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>Dobry (4)</w:t>
            </w:r>
          </w:p>
        </w:tc>
        <w:tc>
          <w:tcPr>
            <w:tcW w:w="6320" w:type="dxa"/>
            <w:shd w:val="none"/>
            <w:tcMar>
              <w:top w:w="121" w:type="dxa"/>
              <w:left w:w="56" w:type="dxa"/>
              <w:bottom w:w="56" w:type="dxa"/>
              <w:right w:w="181" w:type="dxa"/>
            </w:tcMar>
            <w:tcBorders>
              <w:top w:val="single" w:sz="6" w:space="0" w:color="C4C7C5" tmln="15, 20, 20, 0, 0"/>
              <w:left w:val="single" w:sz="6" w:space="0" w:color="C4C7C5" tmln="15, 20, 20, 0, 0"/>
              <w:bottom w:val="single" w:sz="6" w:space="0" w:color="C4C7C5" tmln="15, 20, 20, 0, 0"/>
              <w:right w:val="single" w:sz="6" w:space="0" w:color="C4C7C5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88492669" protected="0"/>
          </w:tcPr>
          <w:p>
            <w:pPr>
              <w:spacing w:after="640" w:line="276" w:lineRule="auto"/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eastAsia="Arial" w:cs="Arial"/>
                <w:bCs/>
                <w:sz w:val="22"/>
                <w:szCs w:val="22"/>
              </w:rPr>
            </w:pPr>
            <w:r>
              <w:rPr>
                <w:rFonts w:ascii="Arial" w:hAnsi="Arial" w:eastAsia="Arial" w:cs="Arial"/>
                <w:bCs/>
                <w:sz w:val="22"/>
                <w:szCs w:val="22"/>
              </w:rPr>
              <w:t>Uczeń sprawnie posługuje się wiedzą i umiejętnościami w nowych sytuacjach. Przetwarza teksty, wyciąga wnioski, potrafi uargumentować własne zdanie. Redaguje spójne prace pisemne. Bezproblemowo tworzy wykresy zdań złożonych. Rzadko popełnia błędy ortograficzne i interpunkcyjne.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100" w:type="dxa"/>
            <w:shd w:val="none"/>
            <w:tcMar>
              <w:top w:w="121" w:type="dxa"/>
              <w:left w:w="56" w:type="dxa"/>
              <w:bottom w:w="56" w:type="dxa"/>
              <w:right w:w="181" w:type="dxa"/>
            </w:tcMar>
            <w:tcBorders>
              <w:top w:val="single" w:sz="6" w:space="0" w:color="C4C7C5" tmln="15, 20, 20, 0, 0"/>
              <w:left w:val="single" w:sz="6" w:space="0" w:color="C4C7C5" tmln="15, 20, 20, 0, 0"/>
              <w:bottom w:val="single" w:sz="6" w:space="0" w:color="C4C7C5" tmln="15, 20, 20, 0, 0"/>
              <w:right w:val="single" w:sz="6" w:space="0" w:color="C4C7C5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88492669" protected="0"/>
          </w:tcPr>
          <w:p>
            <w:pPr>
              <w:spacing w:after="640" w:line="276" w:lineRule="auto"/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>Bardzo dobry (5)</w:t>
            </w:r>
          </w:p>
        </w:tc>
        <w:tc>
          <w:tcPr>
            <w:tcW w:w="6320" w:type="dxa"/>
            <w:shd w:val="none"/>
            <w:tcMar>
              <w:top w:w="121" w:type="dxa"/>
              <w:left w:w="56" w:type="dxa"/>
              <w:bottom w:w="56" w:type="dxa"/>
              <w:right w:w="181" w:type="dxa"/>
            </w:tcMar>
            <w:tcBorders>
              <w:top w:val="single" w:sz="6" w:space="0" w:color="C4C7C5" tmln="15, 20, 20, 0, 0"/>
              <w:left w:val="single" w:sz="6" w:space="0" w:color="C4C7C5" tmln="15, 20, 20, 0, 0"/>
              <w:bottom w:val="single" w:sz="6" w:space="0" w:color="C4C7C5" tmln="15, 20, 20, 0, 0"/>
              <w:right w:val="single" w:sz="6" w:space="0" w:color="C4C7C5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88492669" protected="0"/>
          </w:tcPr>
          <w:p>
            <w:pPr>
              <w:spacing w:after="640" w:line="276" w:lineRule="auto"/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eastAsia="Arial" w:cs="Arial"/>
                <w:bCs/>
                <w:sz w:val="22"/>
                <w:szCs w:val="22"/>
              </w:rPr>
            </w:pPr>
            <w:r>
              <w:rPr>
                <w:rFonts w:ascii="Arial" w:hAnsi="Arial" w:eastAsia="Arial" w:cs="Arial"/>
                <w:bCs/>
                <w:sz w:val="22"/>
                <w:szCs w:val="22"/>
              </w:rPr>
              <w:t>Uczeń w pełni opanował zakres materiału przewidziany w programie. Samodzielnie i krytycznie analizuje teksty literackie i kulturę. Tworzy bezbłędne pod względem kompozycyjnym i stylistycznym wypowiedzi pisemne. Wykazuje się wysoką sprawnością językową i ortograficzną. Chętnie podejmuje dodatkowe zadania polonistyczne.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100" w:type="dxa"/>
            <w:shd w:val="none"/>
            <w:tcMar>
              <w:top w:w="121" w:type="dxa"/>
              <w:left w:w="56" w:type="dxa"/>
              <w:bottom w:w="56" w:type="dxa"/>
              <w:right w:w="181" w:type="dxa"/>
            </w:tcMar>
            <w:tcBorders>
              <w:top w:val="single" w:sz="6" w:space="0" w:color="C4C7C5" tmln="15, 20, 20, 0, 0"/>
              <w:left w:val="single" w:sz="6" w:space="0" w:color="C4C7C5" tmln="15, 20, 20, 0, 0"/>
              <w:bottom w:val="single" w:sz="6" w:space="0" w:color="C4C7C5" tmln="15, 20, 20, 0, 0"/>
              <w:right w:val="single" w:sz="6" w:space="0" w:color="C4C7C5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88492669" protected="0"/>
          </w:tcPr>
          <w:p>
            <w:pPr>
              <w:spacing w:after="640" w:line="276" w:lineRule="auto"/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>Celujący (6)</w:t>
            </w:r>
          </w:p>
        </w:tc>
        <w:tc>
          <w:tcPr>
            <w:tcW w:w="6320" w:type="dxa"/>
            <w:shd w:val="none"/>
            <w:tcMar>
              <w:top w:w="121" w:type="dxa"/>
              <w:left w:w="56" w:type="dxa"/>
              <w:bottom w:w="56" w:type="dxa"/>
              <w:right w:w="181" w:type="dxa"/>
            </w:tcMar>
            <w:tcBorders>
              <w:top w:val="single" w:sz="6" w:space="0" w:color="C4C7C5" tmln="15, 20, 20, 0, 0"/>
              <w:left w:val="single" w:sz="6" w:space="0" w:color="C4C7C5" tmln="15, 20, 20, 0, 0"/>
              <w:bottom w:val="single" w:sz="6" w:space="0" w:color="C4C7C5" tmln="15, 20, 20, 0, 0"/>
              <w:right w:val="single" w:sz="6" w:space="0" w:color="C4C7C5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88492669" protected="0"/>
          </w:tcPr>
          <w:p>
            <w:pPr>
              <w:spacing w:after="640" w:line="276" w:lineRule="auto"/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eastAsia="Arial" w:cs="Arial"/>
                <w:bCs/>
                <w:sz w:val="22"/>
                <w:szCs w:val="22"/>
              </w:rPr>
            </w:pPr>
            <w:r>
              <w:rPr>
                <w:rFonts w:ascii="Arial" w:hAnsi="Arial" w:eastAsia="Arial" w:cs="Arial"/>
                <w:bCs/>
                <w:sz w:val="22"/>
                <w:szCs w:val="22"/>
              </w:rPr>
              <w:t>Uczeń wykazuje dojrzałość humanistyczną, tworzy prace pisemne o wysokich walorach.  Reprezentuje szerokie zainteresowania czytelnicze i kulturowe.</w:t>
            </w:r>
          </w:p>
        </w:tc>
      </w:tr>
    </w:tbl>
    <w:p>
      <w:pPr>
        <w:pStyle w:val="para2"/>
        <w:spacing w:before="0" w:line="276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Obszary podlejące ocenianiu</w:t>
      </w:r>
    </w:p>
    <w:p>
      <w:pPr>
        <w:spacing w:line="276" w:lineRule="auto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Cs/>
          <w:sz w:val="22"/>
          <w:szCs w:val="22"/>
        </w:rPr>
      </w:r>
    </w:p>
    <w:tbl>
      <w:tblPr>
        <w:tblStyle w:val="TableNormal"/>
        <w:name w:val="Tabela2"/>
        <w:tabOrder w:val="0"/>
        <w:jc w:val="left"/>
        <w:tblInd w:w="0" w:type="dxa"/>
        <w:tblW w:w="6420" w:type="dxa"/>
        <w:pPr>
          <w:spacing w:after="640" w:line="276" w:lineRule="auto"/>
          <w:keepNext/>
          <w:keepLines/>
        </w:pPr>
        <w:tblLook w:val="0600" w:firstRow="0" w:lastRow="0" w:firstColumn="0" w:lastColumn="0" w:noHBand="1" w:noVBand="1"/>
      </w:tblPr>
      <w:tblGrid>
        <w:gridCol w:w="3210"/>
        <w:gridCol w:w="3210"/>
      </w:tblGrid>
      <w:tr>
        <w:trPr>
          <w:tblHeader/>
          <w:cantSplit w:val="0"/>
          <w:trHeight w:val="0" w:hRule="auto"/>
        </w:trPr>
        <w:tc>
          <w:tcPr>
            <w:tcW w:w="3210" w:type="dxa"/>
            <w:shd w:val="none"/>
            <w:tcMar>
              <w:top w:w="121" w:type="dxa"/>
              <w:left w:w="56" w:type="dxa"/>
              <w:bottom w:w="56" w:type="dxa"/>
              <w:right w:w="181" w:type="dxa"/>
            </w:tcMar>
            <w:tcBorders>
              <w:top w:val="single" w:sz="6" w:space="0" w:color="C4C7C5" tmln="15, 20, 20, 0, 0"/>
              <w:left w:val="single" w:sz="6" w:space="0" w:color="C4C7C5" tmln="15, 20, 20, 0, 0"/>
              <w:bottom w:val="single" w:sz="6" w:space="0" w:color="C4C7C5" tmln="15, 20, 20, 0, 0"/>
              <w:right w:val="single" w:sz="6" w:space="0" w:color="C4C7C5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88492669" protected="0"/>
          </w:tcPr>
          <w:p>
            <w:pPr>
              <w:spacing w:line="276" w:lineRule="auto"/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>Kategoria formy aktywności</w:t>
            </w:r>
          </w:p>
        </w:tc>
        <w:tc>
          <w:tcPr>
            <w:tcW w:w="3210" w:type="dxa"/>
            <w:shd w:val="none"/>
            <w:tcMar>
              <w:top w:w="121" w:type="dxa"/>
              <w:left w:w="56" w:type="dxa"/>
              <w:bottom w:w="56" w:type="dxa"/>
              <w:right w:w="181" w:type="dxa"/>
            </w:tcMar>
            <w:tcBorders>
              <w:top w:val="single" w:sz="6" w:space="0" w:color="C4C7C5" tmln="15, 20, 20, 0, 0"/>
              <w:left w:val="single" w:sz="6" w:space="0" w:color="C4C7C5" tmln="15, 20, 20, 0, 0"/>
              <w:bottom w:val="single" w:sz="6" w:space="0" w:color="C4C7C5" tmln="15, 20, 20, 0, 0"/>
              <w:right w:val="single" w:sz="6" w:space="0" w:color="C4C7C5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88492669" protected="0"/>
          </w:tcPr>
          <w:p>
            <w:pPr>
              <w:spacing w:line="276" w:lineRule="auto"/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>Opis / Zakres formy</w:t>
            </w:r>
          </w:p>
        </w:tc>
      </w:tr>
      <w:tr>
        <w:trPr>
          <w:tblHeader w:val="0"/>
          <w:cantSplit w:val="0"/>
          <w:trHeight w:val="1093" w:hRule="atLeast"/>
        </w:trPr>
        <w:tc>
          <w:tcPr>
            <w:tcW w:w="3210" w:type="dxa"/>
            <w:shd w:val="none"/>
            <w:tcMar>
              <w:top w:w="121" w:type="dxa"/>
              <w:left w:w="56" w:type="dxa"/>
              <w:bottom w:w="56" w:type="dxa"/>
              <w:right w:w="181" w:type="dxa"/>
            </w:tcMar>
            <w:tcBorders>
              <w:top w:val="single" w:sz="6" w:space="0" w:color="C4C7C5" tmln="15, 20, 20, 0, 0"/>
              <w:left w:val="single" w:sz="6" w:space="0" w:color="C4C7C5" tmln="15, 20, 20, 0, 0"/>
              <w:bottom w:val="single" w:sz="6" w:space="0" w:color="C4C7C5" tmln="15, 20, 20, 0, 0"/>
              <w:right w:val="single" w:sz="6" w:space="0" w:color="C4C7C5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88492669" protected="0"/>
          </w:tcPr>
          <w:p>
            <w:pPr>
              <w:spacing w:after="640" w:line="276" w:lineRule="auto"/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>Prace klasowe i testy</w:t>
            </w:r>
          </w:p>
        </w:tc>
        <w:tc>
          <w:tcPr>
            <w:tcW w:w="3210" w:type="dxa"/>
            <w:shd w:val="none"/>
            <w:tcMar>
              <w:top w:w="121" w:type="dxa"/>
              <w:left w:w="56" w:type="dxa"/>
              <w:bottom w:w="56" w:type="dxa"/>
              <w:right w:w="181" w:type="dxa"/>
            </w:tcMar>
            <w:tcBorders>
              <w:top w:val="single" w:sz="6" w:space="0" w:color="C4C7C5" tmln="15, 20, 20, 0, 0"/>
              <w:left w:val="single" w:sz="6" w:space="0" w:color="C4C7C5" tmln="15, 20, 20, 0, 0"/>
              <w:bottom w:val="single" w:sz="6" w:space="0" w:color="C4C7C5" tmln="15, 20, 20, 0, 0"/>
              <w:right w:val="single" w:sz="6" w:space="0" w:color="C4C7C5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88492669" protected="0"/>
          </w:tcPr>
          <w:p>
            <w:pPr>
              <w:spacing w:after="640" w:line="276" w:lineRule="auto"/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eastAsia="Arial" w:cs="Arial"/>
                <w:bCs/>
                <w:sz w:val="22"/>
                <w:szCs w:val="22"/>
              </w:rPr>
            </w:pPr>
            <w:r>
              <w:rPr>
                <w:rFonts w:ascii="Arial" w:hAnsi="Arial" w:eastAsia="Arial" w:cs="Arial"/>
                <w:bCs/>
                <w:sz w:val="22"/>
                <w:szCs w:val="22"/>
              </w:rPr>
              <w:t>Prace klasowe (np. wypracowania: rozprawka, opowiadanie twórcze/odtwórcze).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210" w:type="dxa"/>
            <w:shd w:val="none"/>
            <w:tcMar>
              <w:top w:w="121" w:type="dxa"/>
              <w:left w:w="56" w:type="dxa"/>
              <w:bottom w:w="56" w:type="dxa"/>
              <w:right w:w="181" w:type="dxa"/>
            </w:tcMar>
            <w:tcBorders>
              <w:top w:val="single" w:sz="6" w:space="0" w:color="C4C7C5" tmln="15, 20, 20, 0, 0"/>
              <w:left w:val="single" w:sz="6" w:space="0" w:color="C4C7C5" tmln="15, 20, 20, 0, 0"/>
              <w:bottom w:val="single" w:sz="6" w:space="0" w:color="C4C7C5" tmln="15, 20, 20, 0, 0"/>
              <w:right w:val="single" w:sz="6" w:space="0" w:color="C4C7C5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88492669" protected="0"/>
          </w:tcPr>
          <w:p>
            <w:pPr>
              <w:spacing w:after="640" w:line="276" w:lineRule="auto"/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>Kartkówki i sprawdziany ze znajomości lektur</w:t>
            </w:r>
          </w:p>
        </w:tc>
        <w:tc>
          <w:tcPr>
            <w:tcW w:w="3210" w:type="dxa"/>
            <w:shd w:val="none"/>
            <w:tcMar>
              <w:top w:w="121" w:type="dxa"/>
              <w:left w:w="56" w:type="dxa"/>
              <w:bottom w:w="56" w:type="dxa"/>
              <w:right w:w="181" w:type="dxa"/>
            </w:tcMar>
            <w:tcBorders>
              <w:top w:val="single" w:sz="6" w:space="0" w:color="C4C7C5" tmln="15, 20, 20, 0, 0"/>
              <w:left w:val="single" w:sz="6" w:space="0" w:color="C4C7C5" tmln="15, 20, 20, 0, 0"/>
              <w:bottom w:val="single" w:sz="6" w:space="0" w:color="C4C7C5" tmln="15, 20, 20, 0, 0"/>
              <w:right w:val="single" w:sz="6" w:space="0" w:color="C4C7C5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88492669" protected="0"/>
          </w:tcPr>
          <w:p>
            <w:pPr>
              <w:spacing w:after="640" w:line="276" w:lineRule="auto"/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eastAsia="Arial" w:cs="Arial"/>
                <w:bCs/>
                <w:sz w:val="22"/>
                <w:szCs w:val="22"/>
              </w:rPr>
            </w:pPr>
            <w:r>
              <w:rPr>
                <w:rFonts w:ascii="Arial" w:hAnsi="Arial" w:eastAsia="Arial" w:cs="Arial"/>
                <w:bCs/>
                <w:sz w:val="22"/>
                <w:szCs w:val="22"/>
              </w:rPr>
              <w:t>Testy ze znajomości treści lektur obowiązkowych, krótkie sprawdziany (10–15 min) z 1–3 ostatnich lekcji.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210" w:type="dxa"/>
            <w:shd w:val="none"/>
            <w:tcMar>
              <w:top w:w="121" w:type="dxa"/>
              <w:left w:w="56" w:type="dxa"/>
              <w:bottom w:w="56" w:type="dxa"/>
              <w:right w:w="181" w:type="dxa"/>
            </w:tcMar>
            <w:tcBorders>
              <w:top w:val="single" w:sz="6" w:space="0" w:color="C4C7C5" tmln="15, 20, 20, 0, 0"/>
              <w:left w:val="single" w:sz="6" w:space="0" w:color="C4C7C5" tmln="15, 20, 20, 0, 0"/>
              <w:bottom w:val="single" w:sz="6" w:space="0" w:color="C4C7C5" tmln="15, 20, 20, 0, 0"/>
              <w:right w:val="single" w:sz="6" w:space="0" w:color="C4C7C5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88492669" protected="0"/>
          </w:tcPr>
          <w:p>
            <w:pPr>
              <w:spacing w:after="640" w:line="276" w:lineRule="auto"/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>Odpowiedzi ustne i wypowiedzi monologowe</w:t>
            </w:r>
          </w:p>
        </w:tc>
        <w:tc>
          <w:tcPr>
            <w:tcW w:w="3210" w:type="dxa"/>
            <w:shd w:val="none"/>
            <w:tcMar>
              <w:top w:w="121" w:type="dxa"/>
              <w:left w:w="56" w:type="dxa"/>
              <w:bottom w:w="56" w:type="dxa"/>
              <w:right w:w="181" w:type="dxa"/>
            </w:tcMar>
            <w:tcBorders>
              <w:top w:val="single" w:sz="6" w:space="0" w:color="C4C7C5" tmln="15, 20, 20, 0, 0"/>
              <w:left w:val="single" w:sz="6" w:space="0" w:color="C4C7C5" tmln="15, 20, 20, 0, 0"/>
              <w:bottom w:val="single" w:sz="6" w:space="0" w:color="C4C7C5" tmln="15, 20, 20, 0, 0"/>
              <w:right w:val="single" w:sz="6" w:space="0" w:color="C4C7C5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88492669" protected="0"/>
          </w:tcPr>
          <w:p>
            <w:pPr>
              <w:spacing w:after="640" w:line="276" w:lineRule="auto"/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eastAsia="Arial" w:cs="Arial"/>
                <w:bCs/>
                <w:sz w:val="22"/>
                <w:szCs w:val="22"/>
              </w:rPr>
            </w:pPr>
            <w:r>
              <w:rPr>
                <w:rFonts w:ascii="Arial" w:hAnsi="Arial" w:eastAsia="Arial" w:cs="Arial"/>
                <w:bCs/>
                <w:sz w:val="22"/>
                <w:szCs w:val="22"/>
              </w:rPr>
              <w:t>Głośne czytanie ze zrozumieniem, recytacja, udział w dyskusji, krótkie prezentacje ustne.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210" w:type="dxa"/>
            <w:shd w:val="none"/>
            <w:tcMar>
              <w:top w:w="121" w:type="dxa"/>
              <w:left w:w="56" w:type="dxa"/>
              <w:bottom w:w="56" w:type="dxa"/>
              <w:right w:w="181" w:type="dxa"/>
            </w:tcMar>
            <w:tcBorders>
              <w:top w:val="single" w:sz="6" w:space="0" w:color="C4C7C5" tmln="15, 20, 20, 0, 0"/>
              <w:left w:val="single" w:sz="6" w:space="0" w:color="C4C7C5" tmln="15, 20, 20, 0, 0"/>
              <w:bottom w:val="single" w:sz="6" w:space="0" w:color="C4C7C5" tmln="15, 20, 20, 0, 0"/>
              <w:right w:val="single" w:sz="6" w:space="0" w:color="C4C7C5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88492669" protected="0"/>
          </w:tcPr>
          <w:p>
            <w:pPr>
              <w:spacing w:after="640" w:line="276" w:lineRule="auto"/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 Zadania długoterminowe</w:t>
            </w:r>
          </w:p>
          <w:p>
            <w:pPr>
              <w:spacing w:after="640" w:line="276" w:lineRule="auto"/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>Aktywność i praca na lekcji</w:t>
            </w:r>
          </w:p>
        </w:tc>
        <w:tc>
          <w:tcPr>
            <w:tcW w:w="3210" w:type="dxa"/>
            <w:shd w:val="none"/>
            <w:tcMar>
              <w:top w:w="121" w:type="dxa"/>
              <w:left w:w="56" w:type="dxa"/>
              <w:bottom w:w="56" w:type="dxa"/>
              <w:right w:w="181" w:type="dxa"/>
            </w:tcMar>
            <w:tcBorders>
              <w:top w:val="single" w:sz="6" w:space="0" w:color="C4C7C5" tmln="15, 20, 20, 0, 0"/>
              <w:left w:val="single" w:sz="6" w:space="0" w:color="C4C7C5" tmln="15, 20, 20, 0, 0"/>
              <w:bottom w:val="single" w:sz="6" w:space="0" w:color="C4C7C5" tmln="15, 20, 20, 0, 0"/>
              <w:right w:val="single" w:sz="6" w:space="0" w:color="C4C7C5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88492669" protected="0"/>
          </w:tcPr>
          <w:p>
            <w:pPr>
              <w:spacing w:after="640" w:line="276" w:lineRule="auto"/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eastAsia="Arial" w:cs="Arial"/>
                <w:bCs/>
                <w:sz w:val="22"/>
                <w:szCs w:val="22"/>
              </w:rPr>
            </w:pPr>
            <w:r>
              <w:rPr>
                <w:rFonts w:ascii="Arial" w:hAnsi="Arial" w:eastAsia="Arial" w:cs="Arial"/>
                <w:bCs/>
                <w:sz w:val="22"/>
                <w:szCs w:val="22"/>
              </w:rPr>
              <w:t>Karta pracy, wypowiedzi pisemne w zeszycie, projekty edukacyjne, prace w grupach, praca na lekcji, praca z lekturą, podręcznikiem, ćwiczenia w zeszycie ćwiczeń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210" w:type="dxa"/>
            <w:shd w:val="none"/>
            <w:tcMar>
              <w:top w:w="121" w:type="dxa"/>
              <w:left w:w="56" w:type="dxa"/>
              <w:bottom w:w="56" w:type="dxa"/>
              <w:right w:w="181" w:type="dxa"/>
            </w:tcMar>
            <w:tcBorders>
              <w:top w:val="single" w:sz="6" w:space="0" w:color="C4C7C5" tmln="15, 20, 20, 0, 0"/>
              <w:left w:val="single" w:sz="6" w:space="0" w:color="C4C7C5" tmln="15, 20, 20, 0, 0"/>
              <w:bottom w:val="single" w:sz="6" w:space="0" w:color="C4C7C5" tmln="15, 20, 20, 0, 0"/>
              <w:right w:val="single" w:sz="6" w:space="0" w:color="C4C7C5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88492669" protected="0"/>
          </w:tcPr>
          <w:p>
            <w:pPr>
              <w:spacing w:after="640" w:line="276" w:lineRule="auto"/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>Osiągnięcia w konkursach</w:t>
            </w:r>
          </w:p>
        </w:tc>
        <w:tc>
          <w:tcPr>
            <w:tcW w:w="3210" w:type="dxa"/>
            <w:shd w:val="none"/>
            <w:tcMar>
              <w:top w:w="121" w:type="dxa"/>
              <w:left w:w="56" w:type="dxa"/>
              <w:bottom w:w="56" w:type="dxa"/>
              <w:right w:w="181" w:type="dxa"/>
            </w:tcMar>
            <w:tcBorders>
              <w:top w:val="single" w:sz="6" w:space="0" w:color="C4C7C5" tmln="15, 20, 20, 0, 0"/>
              <w:left w:val="single" w:sz="6" w:space="0" w:color="C4C7C5" tmln="15, 20, 20, 0, 0"/>
              <w:bottom w:val="single" w:sz="6" w:space="0" w:color="C4C7C5" tmln="15, 20, 20, 0, 0"/>
              <w:right w:val="single" w:sz="6" w:space="0" w:color="C4C7C5" tmln="15, 20, 20, 0, 0"/>
              <w:tl2br w:val="nil" w:sz="0" w:space="0" w:color="000000" tmln="20, 20, 20, 0, 0"/>
              <w:tr2bl w:val="nil" w:sz="0" w:space="0" w:color="000000" tmln="20, 20, 20, 0, 0"/>
            </w:tcBorders>
            <w:tmTcPr id="1788492669" protected="0"/>
          </w:tcPr>
          <w:p>
            <w:pPr>
              <w:spacing w:after="640" w:line="276" w:lineRule="auto"/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eastAsia="Arial" w:cs="Arial"/>
                <w:bCs/>
                <w:sz w:val="22"/>
                <w:szCs w:val="22"/>
              </w:rPr>
            </w:pPr>
            <w:r>
              <w:rPr>
                <w:rFonts w:ascii="Arial" w:hAnsi="Arial" w:eastAsia="Arial" w:cs="Arial"/>
                <w:bCs/>
                <w:sz w:val="22"/>
                <w:szCs w:val="22"/>
              </w:rPr>
              <w:t>Udział i sukcesy w konkursach polonistycznych (np. Małopolski Konkurs Języka Polskiego, konkursy literackie/ortograficzne).</w:t>
            </w:r>
          </w:p>
        </w:tc>
      </w:tr>
    </w:tbl>
    <w:p>
      <w:pPr>
        <w:pStyle w:val="para2"/>
        <w:spacing w:before="0" w:line="276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Ogólne zasady i kryteria oceniania</w:t>
      </w:r>
    </w:p>
    <w:p>
      <w:pPr>
        <w:pStyle w:val="para2"/>
        <w:spacing w:before="0" w:line="276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Arial"/>
          <w:b w:val="0"/>
          <w:sz w:val="22"/>
          <w:szCs w:val="22"/>
        </w:rPr>
      </w:pPr>
      <w:r>
        <w:rPr>
          <w:rFonts w:eastAsia="Arial"/>
          <w:sz w:val="22"/>
          <w:szCs w:val="22"/>
        </w:rPr>
        <w:t xml:space="preserve"> Poprawa ocen i zaliczanie materiału</w:t>
      </w:r>
      <w:r>
        <w:rPr>
          <w:rFonts w:eastAsia="Arial"/>
          <w:b w:val="0"/>
          <w:sz w:val="22"/>
          <w:szCs w:val="22"/>
        </w:rPr>
      </w:r>
    </w:p>
    <w:p>
      <w:pPr>
        <w:numPr>
          <w:ilvl w:val="0"/>
          <w:numId w:val="1"/>
        </w:numPr>
        <w:ind w:left="283" w:hanging="283"/>
        <w:spacing w:line="276" w:lineRule="auto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</w:rPr>
        <w:t>Poprawa prac klasowych:</w:t>
      </w:r>
      <w:r>
        <w:rPr>
          <w:rFonts w:ascii="Arial" w:hAnsi="Arial" w:eastAsia="Arial" w:cs="Arial"/>
          <w:bCs/>
          <w:sz w:val="22"/>
          <w:szCs w:val="22"/>
        </w:rPr>
        <w:t xml:space="preserve"> Każda praca klasowa oraz nieobecność na niej może być poprawiony jednorazowo w terminie do </w:t>
      </w:r>
      <w:r>
        <w:rPr>
          <w:rFonts w:ascii="Arial" w:hAnsi="Arial" w:eastAsia="Arial" w:cs="Arial"/>
          <w:b/>
          <w:bCs/>
          <w:sz w:val="22"/>
          <w:szCs w:val="22"/>
        </w:rPr>
        <w:t>2 tygodni</w:t>
      </w:r>
      <w:r>
        <w:rPr>
          <w:rFonts w:ascii="Arial" w:hAnsi="Arial" w:eastAsia="Arial" w:cs="Arial"/>
          <w:bCs/>
          <w:sz w:val="22"/>
          <w:szCs w:val="22"/>
        </w:rPr>
        <w:t xml:space="preserve"> od dnia ogłoszenia wyników.</w:t>
      </w:r>
    </w:p>
    <w:p>
      <w:pPr>
        <w:numPr>
          <w:ilvl w:val="0"/>
          <w:numId w:val="1"/>
        </w:numPr>
        <w:ind w:left="283" w:hanging="283"/>
        <w:spacing w:line="276" w:lineRule="auto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</w:rPr>
        <w:t>Kolejność ocen:</w:t>
      </w:r>
      <w:r>
        <w:rPr>
          <w:rFonts w:ascii="Arial" w:hAnsi="Arial" w:eastAsia="Arial" w:cs="Arial"/>
          <w:bCs/>
          <w:sz w:val="22"/>
          <w:szCs w:val="22"/>
        </w:rPr>
        <w:t xml:space="preserve"> W dzienniku elektronicznym wpisuje się obok siebie ocenę uzyskaną w pierwszym terminie oraz ocenę z poprawy. </w:t>
      </w:r>
    </w:p>
    <w:p>
      <w:pPr>
        <w:pStyle w:val="para2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 Uczniowie z dysleksją rozwojową (dysleksja, dysgrafia, dysortografia)</w:t>
      </w:r>
    </w:p>
    <w:p>
      <w:pPr>
        <w:pStyle w:val="para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Arial"/>
          <w:b w:val="0"/>
          <w:sz w:val="22"/>
          <w:szCs w:val="22"/>
        </w:rPr>
      </w:pPr>
      <w:r>
        <w:rPr>
          <w:rFonts w:eastAsia="Arial"/>
          <w:sz w:val="22"/>
          <w:szCs w:val="22"/>
        </w:rPr>
        <w:t>Obszar kształcenia literackiego i kulturowego</w:t>
      </w:r>
      <w:r>
        <w:rPr>
          <w:rFonts w:eastAsia="Arial"/>
          <w:b w:val="0"/>
          <w:sz w:val="22"/>
          <w:szCs w:val="22"/>
        </w:rPr>
      </w:r>
    </w:p>
    <w:p>
      <w:pPr>
        <w:numPr>
          <w:ilvl w:val="0"/>
          <w:numId w:val="2"/>
        </w:numPr>
        <w:ind w:left="283" w:hanging="283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</w:rPr>
        <w:t>Czytanie i analiza:</w:t>
      </w:r>
      <w:r>
        <w:rPr>
          <w:rFonts w:ascii="Arial" w:hAnsi="Arial" w:eastAsia="Arial" w:cs="Arial"/>
          <w:bCs/>
          <w:sz w:val="22"/>
          <w:szCs w:val="22"/>
        </w:rPr>
        <w:t xml:space="preserve"> Pozwolenie na dłuższy czas czytania na głos lub zastąpienie go czytaniem cichym; rezygnacja z głośnego odczytywania nieprzygotowanych fragmentów tekstów na forum klasy.</w:t>
      </w:r>
    </w:p>
    <w:p>
      <w:pPr>
        <w:numPr>
          <w:ilvl w:val="0"/>
          <w:numId w:val="2"/>
        </w:numPr>
        <w:ind w:left="283" w:hanging="283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</w:rPr>
        <w:t>Praca z tekstem:</w:t>
      </w:r>
      <w:r>
        <w:rPr>
          <w:rFonts w:ascii="Arial" w:hAnsi="Arial" w:eastAsia="Arial" w:cs="Arial"/>
          <w:bCs/>
          <w:sz w:val="22"/>
          <w:szCs w:val="22"/>
        </w:rPr>
        <w:t xml:space="preserve"> Zezwolenie na korzystanie z audiobooków (lektury) oraz tekstu drukowanego czcionką bezszeryfową (np. Arial) o większym rozmiarze.</w:t>
      </w:r>
    </w:p>
    <w:p>
      <w:pPr>
        <w:numPr>
          <w:ilvl w:val="0"/>
          <w:numId w:val="2"/>
        </w:numPr>
        <w:ind w:left="283" w:hanging="283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</w:rPr>
        <w:t>Rozumienie:</w:t>
      </w:r>
      <w:r>
        <w:rPr>
          <w:rFonts w:ascii="Arial" w:hAnsi="Arial" w:eastAsia="Arial" w:cs="Arial"/>
          <w:bCs/>
          <w:sz w:val="22"/>
          <w:szCs w:val="22"/>
        </w:rPr>
        <w:t xml:space="preserve"> Dzielenie dłuższych pytań do tekstów na krótsze, jednostkowe polecenia.</w:t>
      </w:r>
    </w:p>
    <w:p>
      <w:pPr>
        <w:pStyle w:val="para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Arial"/>
          <w:b w:val="0"/>
          <w:sz w:val="22"/>
          <w:szCs w:val="22"/>
        </w:rPr>
      </w:pPr>
      <w:r>
        <w:rPr>
          <w:rFonts w:eastAsia="Arial"/>
          <w:sz w:val="22"/>
          <w:szCs w:val="22"/>
        </w:rPr>
        <w:t>Kształcenie językowe i pisanie</w:t>
      </w:r>
      <w:r>
        <w:rPr>
          <w:rFonts w:eastAsia="Arial"/>
          <w:b w:val="0"/>
          <w:sz w:val="22"/>
          <w:szCs w:val="22"/>
        </w:rPr>
      </w:r>
    </w:p>
    <w:p>
      <w:pPr>
        <w:numPr>
          <w:ilvl w:val="0"/>
          <w:numId w:val="2"/>
        </w:numPr>
        <w:ind w:left="283" w:hanging="283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</w:rPr>
        <w:t>Ortografia:</w:t>
      </w:r>
      <w:r>
        <w:rPr>
          <w:rFonts w:ascii="Arial" w:hAnsi="Arial" w:eastAsia="Arial" w:cs="Arial"/>
          <w:bCs/>
          <w:sz w:val="22"/>
          <w:szCs w:val="22"/>
        </w:rPr>
        <w:t xml:space="preserve"> Nieocenianie błędów ortograficznych na ocenę niedostateczną (punkty przyznawane są za treść i spójność). Stosowanie alternatywnych form sprawdzania znajomości zasad (np. testy wielokrotnego wyboru, pisanie ze słownikiem).</w:t>
      </w:r>
    </w:p>
    <w:p>
      <w:pPr>
        <w:numPr>
          <w:ilvl w:val="0"/>
          <w:numId w:val="2"/>
        </w:numPr>
        <w:ind w:left="283" w:hanging="283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</w:rPr>
        <w:t>Pismo:</w:t>
      </w:r>
      <w:r>
        <w:rPr>
          <w:rFonts w:ascii="Arial" w:hAnsi="Arial" w:eastAsia="Arial" w:cs="Arial"/>
          <w:bCs/>
          <w:sz w:val="22"/>
          <w:szCs w:val="22"/>
        </w:rPr>
        <w:t xml:space="preserve"> Zwolnienie z wymogu estetycznego i kaligraficznego pisma (dysgrafia). Akceptowanie pisma drukowanego lub prac pisanych na komputerze. (Jeśli jest takie zalecenie z PPP).</w:t>
      </w:r>
    </w:p>
    <w:p>
      <w:pPr>
        <w:numPr>
          <w:ilvl w:val="0"/>
          <w:numId w:val="2"/>
        </w:numPr>
        <w:ind w:left="283" w:hanging="283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</w:rPr>
        <w:t>Składnia i gramatyka:</w:t>
      </w:r>
      <w:r>
        <w:rPr>
          <w:rFonts w:ascii="Arial" w:hAnsi="Arial" w:eastAsia="Arial" w:cs="Arial"/>
          <w:bCs/>
          <w:sz w:val="22"/>
          <w:szCs w:val="22"/>
        </w:rPr>
        <w:t xml:space="preserve"> Zwiększenie limitu czasu na klasówkach gramatycznych; pomoc w rozplanowaniu wykresu zdania.</w:t>
      </w:r>
    </w:p>
    <w:p>
      <w:pPr>
        <w:pStyle w:val="para2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2. Uczniowie ze spektrum autyzmu (w tym z zespołem Aspergera)</w:t>
      </w:r>
    </w:p>
    <w:p>
      <w:pPr>
        <w:pStyle w:val="para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Arial"/>
          <w:b w:val="0"/>
          <w:sz w:val="22"/>
          <w:szCs w:val="22"/>
        </w:rPr>
      </w:pPr>
      <w:r>
        <w:rPr>
          <w:rFonts w:eastAsia="Arial"/>
          <w:sz w:val="22"/>
          <w:szCs w:val="22"/>
        </w:rPr>
        <w:t>Komunikacja i polecenia</w:t>
      </w:r>
      <w:r>
        <w:rPr>
          <w:rFonts w:eastAsia="Arial"/>
          <w:b w:val="0"/>
          <w:sz w:val="22"/>
          <w:szCs w:val="22"/>
        </w:rPr>
      </w:r>
    </w:p>
    <w:p>
      <w:pPr>
        <w:numPr>
          <w:ilvl w:val="0"/>
          <w:numId w:val="2"/>
        </w:numPr>
        <w:ind w:left="283" w:hanging="283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</w:rPr>
        <w:t>Jasność instrukcji:</w:t>
      </w:r>
      <w:r>
        <w:rPr>
          <w:rFonts w:ascii="Arial" w:hAnsi="Arial" w:eastAsia="Arial" w:cs="Arial"/>
          <w:bCs/>
          <w:sz w:val="22"/>
          <w:szCs w:val="22"/>
        </w:rPr>
        <w:t xml:space="preserve"> Stosowanie jednoznacznych, dosłownych komunikatów; unikanie skrótów myślowych, metafor lub ironii w poleceniach organizacyjnych.</w:t>
      </w:r>
    </w:p>
    <w:p>
      <w:pPr>
        <w:numPr>
          <w:ilvl w:val="0"/>
          <w:numId w:val="2"/>
        </w:numPr>
        <w:ind w:left="283" w:hanging="283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</w:rPr>
        <w:t>Podział zadań:</w:t>
      </w:r>
      <w:r>
        <w:rPr>
          <w:rFonts w:ascii="Arial" w:hAnsi="Arial" w:eastAsia="Arial" w:cs="Arial"/>
          <w:bCs/>
          <w:sz w:val="22"/>
          <w:szCs w:val="22"/>
        </w:rPr>
        <w:t xml:space="preserve"> Rozbijanie długich instrukcji (np. do wypracowania) na czytelne punkty i etapy.</w:t>
      </w:r>
    </w:p>
    <w:p>
      <w:pPr>
        <w:pStyle w:val="para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Arial"/>
          <w:b w:val="0"/>
          <w:sz w:val="22"/>
          <w:szCs w:val="22"/>
        </w:rPr>
      </w:pPr>
      <w:r>
        <w:rPr>
          <w:rFonts w:eastAsia="Arial"/>
          <w:sz w:val="22"/>
          <w:szCs w:val="22"/>
        </w:rPr>
        <w:t>Formy wypowiedzi i kultura</w:t>
      </w:r>
      <w:r>
        <w:rPr>
          <w:rFonts w:eastAsia="Arial"/>
          <w:b w:val="0"/>
          <w:sz w:val="22"/>
          <w:szCs w:val="22"/>
        </w:rPr>
      </w:r>
    </w:p>
    <w:p>
      <w:pPr>
        <w:numPr>
          <w:ilvl w:val="0"/>
          <w:numId w:val="2"/>
        </w:numPr>
        <w:ind w:left="283" w:hanging="283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</w:rPr>
        <w:t>Metaforyka i fikcja:</w:t>
      </w:r>
      <w:r>
        <w:rPr>
          <w:rFonts w:ascii="Arial" w:hAnsi="Arial" w:eastAsia="Arial" w:cs="Arial"/>
          <w:bCs/>
          <w:sz w:val="22"/>
          <w:szCs w:val="22"/>
        </w:rPr>
        <w:t xml:space="preserve"> Łagodniejsze ocenianie rozumienia przenośni, ukrytych znaczeń i emocji postaci w lekturach; stosowanie wyjaśnień relacji społecznych w oparciu o przykłady z życia.</w:t>
      </w:r>
    </w:p>
    <w:p>
      <w:pPr>
        <w:numPr>
          <w:ilvl w:val="0"/>
          <w:numId w:val="2"/>
        </w:numPr>
        <w:ind w:left="283" w:hanging="283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</w:rPr>
        <w:t>Praca pisemna:</w:t>
      </w:r>
      <w:r>
        <w:rPr>
          <w:rFonts w:ascii="Arial" w:hAnsi="Arial" w:eastAsia="Arial" w:cs="Arial"/>
          <w:bCs/>
          <w:sz w:val="22"/>
          <w:szCs w:val="22"/>
        </w:rPr>
        <w:t xml:space="preserve"> Akceptacja dosłownego stylu wypowiedzi; dopuszczenie tworzenia planu wypowiedzi jako wsparcia przed pisaniem opowiadania lub charakterystyki.</w:t>
      </w:r>
    </w:p>
    <w:p>
      <w:pPr>
        <w:numPr>
          <w:ilvl w:val="0"/>
          <w:numId w:val="2"/>
        </w:numPr>
        <w:ind w:left="283" w:hanging="283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</w:rPr>
        <w:t>Sytuacja lekcyjna:</w:t>
      </w:r>
      <w:r>
        <w:rPr>
          <w:rFonts w:ascii="Arial" w:hAnsi="Arial" w:eastAsia="Arial" w:cs="Arial"/>
          <w:bCs/>
          <w:sz w:val="22"/>
          <w:szCs w:val="22"/>
        </w:rPr>
        <w:t xml:space="preserve"> Uprzedzanie o zmianie planu, zapowiedzianych wypowiedziach ustnych czy sprawdzianach; brak zmuszania do pracy w grupach (zastępowanie pracą w parze lub indywidualną).</w:t>
      </w:r>
    </w:p>
    <w:p>
      <w:pPr>
        <w:pStyle w:val="para2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Arial"/>
          <w:b w:val="0"/>
          <w:sz w:val="22"/>
          <w:szCs w:val="22"/>
        </w:rPr>
      </w:pPr>
      <w:r>
        <w:rPr>
          <w:rFonts w:eastAsia="Arial"/>
          <w:sz w:val="22"/>
          <w:szCs w:val="22"/>
        </w:rPr>
        <w:t>3. Uczniowie z ADHD / zaburzeniami uwagi i hiperaktywnością</w:t>
      </w:r>
      <w:r>
        <w:rPr>
          <w:rFonts w:eastAsia="Arial"/>
          <w:b w:val="0"/>
          <w:sz w:val="22"/>
          <w:szCs w:val="22"/>
        </w:rPr>
      </w:r>
    </w:p>
    <w:p>
      <w:pPr>
        <w:numPr>
          <w:ilvl w:val="0"/>
          <w:numId w:val="2"/>
        </w:numPr>
        <w:ind w:left="283" w:hanging="283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</w:rPr>
        <w:t>Organizacja pracy:</w:t>
      </w:r>
      <w:r>
        <w:rPr>
          <w:rFonts w:ascii="Arial" w:hAnsi="Arial" w:eastAsia="Arial" w:cs="Arial"/>
          <w:bCs/>
          <w:sz w:val="22"/>
          <w:szCs w:val="22"/>
        </w:rPr>
        <w:t xml:space="preserve"> Dzielenie pracy na mniejsze, krótkie partie z wyraźnym limitem czasowym; wprowadzanie kontrolowanych przerw.</w:t>
      </w:r>
    </w:p>
    <w:p>
      <w:pPr>
        <w:numPr>
          <w:ilvl w:val="0"/>
          <w:numId w:val="2"/>
        </w:numPr>
        <w:ind w:left="283" w:hanging="283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</w:rPr>
        <w:t>Sprawdzanie wiedzy:</w:t>
      </w:r>
      <w:r>
        <w:rPr>
          <w:rFonts w:ascii="Arial" w:hAnsi="Arial" w:eastAsia="Arial" w:cs="Arial"/>
          <w:bCs/>
          <w:sz w:val="22"/>
          <w:szCs w:val="22"/>
        </w:rPr>
        <w:t xml:space="preserve"> Przedstawianie pytań testowych w formie pytań zamkniętych lub krótkich odpowiedzi zamiast bardzo długich form pisemnych na jednej lekcji.</w:t>
      </w:r>
    </w:p>
    <w:p>
      <w:pPr>
        <w:numPr>
          <w:ilvl w:val="0"/>
          <w:numId w:val="2"/>
        </w:numPr>
        <w:ind w:left="283" w:hanging="283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</w:rPr>
        <w:t>Instrukcja:</w:t>
      </w:r>
      <w:r>
        <w:rPr>
          <w:rFonts w:ascii="Arial" w:hAnsi="Arial" w:eastAsia="Arial" w:cs="Arial"/>
          <w:bCs/>
          <w:sz w:val="22"/>
          <w:szCs w:val="22"/>
        </w:rPr>
        <w:t xml:space="preserve"> Wydawanie pojedynczych poleceń po uprzednim przyciągnięciu uwagi ucznia (kontakt wzrokowy/imię).</w:t>
      </w:r>
    </w:p>
    <w:p>
      <w:pPr>
        <w:numPr>
          <w:ilvl w:val="0"/>
          <w:numId w:val="2"/>
        </w:numPr>
        <w:ind w:left="283" w:hanging="283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</w:rPr>
        <w:t>Błędy uwagi:</w:t>
      </w:r>
      <w:r>
        <w:rPr>
          <w:rFonts w:ascii="Arial" w:hAnsi="Arial" w:eastAsia="Arial" w:cs="Arial"/>
          <w:bCs/>
          <w:sz w:val="22"/>
          <w:szCs w:val="22"/>
        </w:rPr>
        <w:t xml:space="preserve"> Nieobniżanie ocen za pomyłki wynikające z pośpiechu lub niedopatrenia (np. przeoczenie jednego pytania na arkuszu) – przypomnienie uczniowi o konieczności sprawdzenia pracy.</w:t>
      </w:r>
    </w:p>
    <w:p>
      <w:pPr>
        <w:pStyle w:val="para2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Arial"/>
          <w:b w:val="0"/>
          <w:sz w:val="22"/>
          <w:szCs w:val="22"/>
        </w:rPr>
      </w:pPr>
      <w:r>
        <w:rPr>
          <w:rFonts w:eastAsia="Arial"/>
          <w:sz w:val="22"/>
          <w:szCs w:val="22"/>
        </w:rPr>
        <w:t>Ogólne zasady oceniania uczniów ze SPE (Podsumowanie)</w:t>
      </w:r>
      <w:r>
        <w:rPr>
          <w:rFonts w:eastAsia="Arial"/>
          <w:b w:val="0"/>
          <w:sz w:val="22"/>
          <w:szCs w:val="22"/>
        </w:rPr>
      </w:r>
    </w:p>
    <w:p>
      <w:pPr>
        <w:numPr>
          <w:ilvl w:val="0"/>
          <w:numId w:val="4"/>
        </w:numPr>
        <w:ind w:left="283" w:hanging="283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</w:rPr>
        <w:t>Wkład pracy i postęp:</w:t>
      </w:r>
      <w:r>
        <w:rPr>
          <w:rFonts w:ascii="Arial" w:hAnsi="Arial" w:eastAsia="Arial" w:cs="Arial"/>
          <w:bCs/>
          <w:sz w:val="22"/>
          <w:szCs w:val="22"/>
        </w:rPr>
        <w:t xml:space="preserve"> Ocena uwzględnia indywidualny wysiłek włożony w wykonanie zadania oraz rzeczywiste postępy ucznia w stosunku do jego własnych możliwości.</w:t>
      </w:r>
    </w:p>
    <w:p>
      <w:pPr>
        <w:numPr>
          <w:ilvl w:val="0"/>
          <w:numId w:val="4"/>
        </w:numPr>
        <w:ind w:left="283" w:hanging="283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</w:rPr>
        <w:t>Elastyczność form:</w:t>
      </w:r>
      <w:r>
        <w:rPr>
          <w:rFonts w:ascii="Arial" w:hAnsi="Arial" w:eastAsia="Arial" w:cs="Arial"/>
          <w:bCs/>
          <w:sz w:val="22"/>
          <w:szCs w:val="22"/>
        </w:rPr>
        <w:t xml:space="preserve"> Dostosowanie formy sprawdzania wiedzy do predyspozycji ucznia (np. zmiana wypowiedzi pisemnej na ustną lub test wyboru).</w:t>
      </w:r>
    </w:p>
    <w:p>
      <w:pPr>
        <w:numPr>
          <w:ilvl w:val="0"/>
          <w:numId w:val="4"/>
        </w:numPr>
        <w:ind w:left="283" w:hanging="283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</w:rPr>
        <w:t>Wydłużony czas:</w:t>
      </w:r>
      <w:r>
        <w:rPr>
          <w:rFonts w:ascii="Arial" w:hAnsi="Arial" w:eastAsia="Arial" w:cs="Arial"/>
          <w:bCs/>
          <w:sz w:val="22"/>
          <w:szCs w:val="22"/>
        </w:rPr>
        <w:t xml:space="preserve"> Przyznanie do 50% dodatkowego czasu na klasówkach, sprawdzianach oraz podczas pisania prac klasowych.</w:t>
      </w:r>
    </w:p>
    <w:p>
      <w:pPr>
        <w:numPr>
          <w:ilvl w:val="0"/>
          <w:numId w:val="4"/>
        </w:numPr>
        <w:ind w:left="283" w:hanging="283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</w:rPr>
        <w:t>Instrukcje wspierające:</w:t>
      </w:r>
      <w:r>
        <w:rPr>
          <w:rFonts w:ascii="Arial" w:hAnsi="Arial" w:eastAsia="Arial" w:cs="Arial"/>
          <w:bCs/>
          <w:sz w:val="22"/>
          <w:szCs w:val="22"/>
        </w:rPr>
        <w:t xml:space="preserve"> Dopuszczenie korzystania z pomocy dydaktycznych (słowniczki, wzory wykresów zdań, wklejki z zasadami ortograficznymi) podczas wykonywania zadań.</w:t>
      </w:r>
    </w:p>
    <w:p>
      <w:pPr>
        <w:ind w:left="283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Cs/>
          <w:sz w:val="22"/>
          <w:szCs w:val="22"/>
        </w:rPr>
      </w:r>
    </w:p>
    <w:p>
      <w:pPr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</w:rPr>
        <w:t>OCENA SEMESTRALNA I ROCZNA NIE JEST ŚREDNIĄ ARYTMETYCZNĄ UZYSKANYCH OCEN.</w:t>
      </w:r>
    </w:p>
    <w:p>
      <w:pPr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</w:rPr>
        <w:t>O ocenę wyższą niż przewidziana roczna przez nauczyciela</w:t>
      </w:r>
      <w:r>
        <w:rPr>
          <w:rFonts w:ascii="Arial" w:hAnsi="Arial" w:eastAsia="Arial" w:cs="Arial"/>
          <w:sz w:val="22"/>
          <w:szCs w:val="22"/>
        </w:rPr>
        <w:t xml:space="preserve"> może ubiegać się/ wystąpić uczeń, który: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1. Pracuje systematycznieod samego początku roku szkolnego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2. Na bieżąco poprawia sprawdziany, w terminach uzgodnionych z nauczycielem.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3. Notuje, wykorzystując różnorodne graficznie formy notatek do treści / wykorzystuje mnemotechniki/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5. Prowadzi notatki – zeszyt w sposób estetyczny.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6. Jest przygotowany do lekcji, aktywnie w niej uczestniczy ( nie ma ocen ndst za pracę na lekcji)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7. Sprawdziany są poprawione w zeszycie wg. Wskazówek nauczyciela.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8. Podejmuje się z własnej inicjatywy zadań dodatkowych związanych z językiem polskim.</w:t>
      </w:r>
    </w:p>
    <w:p>
      <w:pPr>
        <w:ind w:left="283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Cs/>
          <w:sz w:val="22"/>
          <w:szCs w:val="22"/>
        </w:rPr>
      </w:r>
    </w:p>
    <w:p>
      <w:pPr>
        <w:spacing w:after="640" w:line="276" w:lineRule="auto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eastAsia="Arial" w:cs="Arial"/>
          <w:bCs/>
          <w:sz w:val="22"/>
          <w:szCs w:val="22"/>
        </w:rPr>
      </w:pPr>
      <w:r>
        <w:rPr>
          <w:rFonts w:ascii="Arial" w:hAnsi="Arial" w:eastAsia="Arial" w:cs="Arial"/>
          <w:bCs/>
          <w:sz w:val="22"/>
          <w:szCs w:val="22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continuous"/>
      <w:pgSz w:h="11907" w:w="8392"/>
      <w:pgMar w:left="720" w:top="720" w:right="720" w:bottom="720" w:header="0" w:footer="0"/>
      <w:paperSrc w:first="7" w:other="7" a="0" b="0"/>
      <w:pgNumType w:fmt="decimal"/>
      <w:tmGutter w:val="1"/>
      <w:mirrorMargins w:val="0"/>
      <w:tmSection w:h="-1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ee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singleLevel"/>
    <w:name w:val="Bullet 4"/>
    <w:lvl w:ilvl="0">
      <w:start w:val="1"/>
      <w:numFmt w:val="ordinal"/>
      <w:suff w:val="tab"/>
      <w:lvlText w:val="%1"/>
      <w:lvlJc w:val="left"/>
      <w:pPr>
        <w:ind w:left="0" w:hanging="0"/>
      </w:pPr>
    </w:lvl>
  </w:abstractNum>
  <w:abstractNum w:abstractNumId="2">
    <w:multiLevelType w:val="singleLevel"/>
    <w:name w:val="Bullet 2"/>
    <w:lvl w:ilvl="0">
      <w:numFmt w:val="bullet"/>
      <w:suff w:val="tab"/>
      <w:lvlText w:val=""/>
      <w:lvlJc w:val="left"/>
      <w:pPr>
        <w:ind w:left="0" w:hanging="0"/>
      </w:pPr>
      <w:rPr>
        <w:rFonts w:ascii="Wingdings" w:hAnsi="Wingdings" w:eastAsia="Wingdings" w:cs="Wingdings"/>
      </w:rPr>
    </w:lvl>
  </w:abstractNum>
  <w:abstractNum w:abstractNumId="3">
    <w:multiLevelType w:val="singleLevel"/>
    <w:name w:val="Bullet 3"/>
    <w:lvl w:ilvl="0">
      <w:numFmt w:val="bullet"/>
      <w:suff w:val="tab"/>
      <w:lvlText w:val=""/>
      <w:lvlJc w:val="left"/>
      <w:pPr>
        <w:ind w:left="0" w:hanging="0"/>
      </w:pPr>
      <w:rPr>
        <w:rFonts w:ascii="Wingdings" w:hAnsi="Wingdings" w:eastAsia="Wingdings" w:cs="Wingdings"/>
      </w:rPr>
    </w:lvl>
  </w:abstractNum>
  <w:abstractNum w:abstractNumId="4">
    <w:multiLevelType w:val="singleLevel"/>
    <w:name w:val="Bullet 4_1"/>
    <w:lvl w:ilvl="0">
      <w:start w:val="1"/>
      <w:numFmt w:val="ordinal"/>
      <w:suff w:val="tab"/>
      <w:lvlText w:val="%1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1"/>
  <w:captions>
    <w:caption w:name="Tabela" w:pos="below" w:numFmt="decimal"/>
    <w:caption w:name="Rysunek" w:pos="below" w:numFmt="decimal"/>
    <w:caption w:name="Obraz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suppressSpBfAfterPgBrk w:val="1"/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6"/>
  <w:tmPrefTwo w:val="1"/>
  <w:tmFmtPref w:val="55090283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4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0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88492669" w:val="1234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pl-pl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SimSun" w:cs="Times New Roman"/>
        <w:kern w:val="1"/>
        <w:sz w:val="20"/>
        <w:szCs w:val="20"/>
        <w:lang w:val="pl-pl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4</cp:revision>
  <cp:lastPrinted>2026-09-04T03:31:35Z</cp:lastPrinted>
  <dcterms:created xsi:type="dcterms:W3CDTF">2026-09-03T15:02:42Z</dcterms:created>
  <dcterms:modified xsi:type="dcterms:W3CDTF">2026-09-04T03:31:09Z</dcterms:modified>
</cp:coreProperties>
</file>